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Cs w:val="28"/>
          <w:lang w:eastAsia="ar-SA"/>
        </w:rPr>
      </w:pPr>
      <w:bookmarkStart w:id="0" w:name="_GoBack"/>
      <w:bookmarkEnd w:id="0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10795</wp:posOffset>
            </wp:positionV>
            <wp:extent cx="916305" cy="1139825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109855</wp:posOffset>
                </wp:positionV>
                <wp:extent cx="2159000" cy="1267460"/>
                <wp:effectExtent l="0" t="0" r="5080" b="1270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РЕСПУБЛИКА АЛТАЙ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СЕЛЬСКАЯ АДМИНИСТРАЦИЯ МУНИЦИПАЛЬНОГО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ОБРАЗОВАНИЯ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АКТЕЛЬСКОЕ  СЕЛЬСКОЕ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ПОСЕЛЕНИЕ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-0.05pt;margin-top:8.65pt;height:99.8pt;width:170pt;z-index:251659264;mso-width-relative:page;mso-height-relative:page;" fillcolor="#FFFFFF" filled="t" stroked="f" coordsize="21600,21600" o:gfxdata="UEsDBAoAAAAAAIdO4kAAAAAAAAAAAAAAAAAEAAAAZHJzL1BLAwQUAAAACACHTuJAd7ZObtgAAAAI&#10;AQAADwAAAGRycy9kb3ducmV2LnhtbE2PzU7DMBCE70i8g7VIXFDr/EiBpHEq0cINDi1Vz26yTSLi&#10;dWQ7Tfv2LCc4zs5o5ttyfTWDuKDzvSUF8TICgVTbpqdWweHrffECwgdNjR4soYIbelhX93elLho7&#10;0w4v+9AKLiFfaAVdCGMhpa87NNov7YjE3tk6owNL18rG6ZnLzSCTKMqk0T3xQqdH3HRYf+8noyDb&#10;umne0eZpe3j70J9jmxxfb0elHh/iaAUi4DX8heEXn9GhYqaTnajxYlCwiDnI5+cUBNtpmucgTgqS&#10;OMtBVqX8/0D1A1BLAwQUAAAACACHTuJAkK9K9tcBAAChAwAADgAAAGRycy9lMm9Eb2MueG1srVNN&#10;rtMwEN4jcQfLe5o0ggJR0ydBVYSEAOnBARzHSSz5T2O3TZfsuQJ3YMGCHVfIuxFjJ+37YfMWZJGM&#10;Z8bfzPfNZH01aEUOAry0pqLLRU6JMNw20nQV/fpl9+wVJT4w0zBljajoSXh6tXn6ZH10pShsb1Uj&#10;gCCI8eXRVbQPwZVZ5nkvNPML64TBYGtBs4BH6LIG2BHRtcqKPF9lRwuNA8uF9+jdTkE6I8JjAG3b&#10;Si62lu+1MGFCBaFYQEq+l87TTeq2bQUPn9rWi0BURZFpSG8sgnYd39lmzcoOmOsln1tgj2nhASfN&#10;pMGiF6gtC4zsQf4DpSUH620bFtzqbCKSFEEWy/yBNtc9cyJxQam9u4ju/x8s/3j4DEQ2uAmUGKZx&#10;4OOP8ef4a/wz/r75dvOdFFGjo/Mlpl47TA7DGzvE/Nnv0RmpDy3o+EVSBOOo8OmisBgC4egsli9e&#10;5zmGOMaWxerl81WaQXZ73YEP74TVJBoVBRxhUpYdPviAJTH1nBKreatks5NKpQN09VsF5MBw3Lv0&#10;xC7xyr00ZWKysfHaFI6eLJKcyEQrDPUwM6xtc0Li6r1B5eMWnQ04G/XZ2DuQXY99J3kSJE4utTBv&#10;WVyNu+dU+PbP2v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7ZObtgAAAAIAQAADwAAAAAAAAAB&#10;ACAAAAAiAAAAZHJzL2Rvd25yZXYueG1sUEsBAhQAFAAAAAgAh07iQJCvSvbXAQAAoQMAAA4AAAAA&#10;AAAAAQAgAAAAJw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РОССИЙСКАЯ ФЕДЕРАЦИЯ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РЕСПУБЛИКА АЛТАЙ 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СЕЛЬСКАЯ АДМИНИСТРАЦИЯ МУНИЦИПАЛЬНОГО 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ОБРАЗОВАНИЯ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АКТЕЛЬСКОЕ  СЕЛЬСКОЕ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92710</wp:posOffset>
                </wp:positionV>
                <wp:extent cx="1978660" cy="1265555"/>
                <wp:effectExtent l="0" t="0" r="2540" b="14605"/>
                <wp:wrapNone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РОССИЯ ФЕДЕРАЦИЯЗЫ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АЛТАЙ РЕСПУБЛИКА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АКJОЛ </w:t>
                            </w: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УРТ ПОСЕЛЕНИЕ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 МУНИЦИПАЛ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ТОЗОЛГОНИНИН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 w:eastAsia="ar-SA"/>
                              </w:rPr>
                              <w:t>АДМИНИСТРАЦИЯЗЫ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297.65pt;margin-top:7.3pt;height:99.65pt;width:155.8pt;z-index:251660288;mso-width-relative:page;mso-height-relative:page;" fillcolor="#FFFFFF" filled="t" stroked="f" coordsize="21600,21600" o:gfxdata="UEsDBAoAAAAAAIdO4kAAAAAAAAAAAAAAAAAEAAAAZHJzL1BLAwQUAAAACACHTuJA+6ryENkAAAAK&#10;AQAADwAAAGRycy9kb3ducmV2LnhtbE2PwU7DMBBE70j8g7VIXBC1k9KIpHEq0cINDi1Vz27sJhHx&#10;OrKdpv17lhM9ruZp5m25utienY0PnUMJyUwAM1g73WEjYf/98fwKLESFWvUOjYSrCbCq7u9KVWg3&#10;4dacd7FhVIKhUBLaGIeC81C3xqowc4NByk7OWxXp9A3XXk1UbnueCpFxqzqkhVYNZt2a+mc3WgnZ&#10;xo/TFtdPm/37p/oamvTwdj1I+fiQiCWwaC7xH4Y/fVKHipyObkQdWC9hkS/mhFLwkgEjIBdZDuwo&#10;IU3mOfCq5LcvVL9QSwMEFAAAAAgAh07iQAUuZTXUAQAAoQMAAA4AAABkcnMvZTJvRG9jLnhtbK1T&#10;zY7TMBC+I/EOlu80bRFliZquBFUREgKkhQdwHCex5D+N3SY9cucVeAcOHLjxCtk32rGTdGG57AEf&#10;nPHM+Jv5Pk+2171W5CTAS2sKulosKRGG20qapqBfPh+eXVHiAzMVU9aIgp6Fp9e7p0+2ncvF2rZW&#10;VQIIghifd66gbQguzzLPW6GZX1gnDAZrC5oFPEKTVcA6RNcqWy+Xm6yzUDmwXHiP3v0YpBMiPAbQ&#10;1rXkYm/5UQsTRlQQigWk5FvpPN2lbuta8PCxrr0IRBUUmYa0YxG0y7hnuy3LG2CulXxqgT2mhQec&#10;NJMGi16g9iwwcgT5D5SWHKy3dVhwq7ORSFIEWayWD7S5aZkTiQtK7d1FdP//YPmH0ycgsiromhLD&#10;ND748H34Mfwcfg+/br/efiPPo0ad8zmm3jhMDv1r2+PkzH6Pzki9r0HHL5IiGEeFzxeFRR8Ij5de&#10;vbzabDDEMbZab17gijjZ/XUHPrwVVpNoFBTwCZOy7PTehzF1TonVvFWyOkil0gGa8o0CcmL43Ie0&#10;JvS/0pSJycbGayNi9GSR5EgmWqEv+4l5aaszElfvDCofp2g2YDbK2Tg6kE2LfSd5EiS+XCI4TVkc&#10;jT/PqfD9n7W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q8hDZAAAACgEAAA8AAAAAAAAAAQAg&#10;AAAAIgAAAGRycy9kb3ducmV2LnhtbFBLAQIUABQAAAAIAIdO4kAFLmU11AEAAKEDAAAOAAAAAAAA&#10;AAEAIAAAACgBAABkcnMvZTJvRG9jLnhtbFBLBQYAAAAABgAGAFkBAABu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РОССИЯ ФЕДЕРАЦИЯЗЫ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АЛТАЙ РЕСПУБЛИКА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АКJОЛ </w:t>
                      </w: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J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УРТ ПОСЕЛЕНИЕ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 xml:space="preserve"> МУНИЦИПАЛ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eastAsia="ar-SA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ТОЗОЛГОНИНИН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  <w:lang w:val="en-US" w:eastAsia="ar-SA"/>
                        </w:rPr>
                      </w:pPr>
                      <w:r>
                        <w:rPr>
                          <w:sz w:val="22"/>
                          <w:szCs w:val="22"/>
                          <w:lang w:val="en-US" w:eastAsia="ar-SA"/>
                        </w:rPr>
                        <w:t>АДМИНИСТРАЦИЯЗЫ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020"/>
        </w:tabs>
        <w:jc w:val="center"/>
        <w:rPr>
          <w:bCs/>
          <w:sz w:val="20"/>
          <w:szCs w:val="20"/>
          <w:u w:val="single"/>
        </w:rPr>
      </w:pPr>
    </w:p>
    <w:p>
      <w:pPr>
        <w:tabs>
          <w:tab w:val="left" w:pos="7020"/>
        </w:tabs>
        <w:jc w:val="center"/>
        <w:rPr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Ул. Молодежная д.2, с.Актел, Шебалинский район, Республика Алтай, 649729, тел.(388 49) 21-2-30. ОКПО 02833508, ОГРН  100400664425, ИНН 0405003602, КПП 040501001</w:t>
      </w:r>
    </w:p>
    <w:p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     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 xml:space="preserve">    </w:t>
      </w:r>
    </w:p>
    <w:p>
      <w:pPr>
        <w:tabs>
          <w:tab w:val="left" w:pos="7020"/>
        </w:tabs>
        <w:rPr>
          <w:szCs w:val="28"/>
          <w:lang w:eastAsia="ar-SA"/>
        </w:rPr>
      </w:pPr>
    </w:p>
    <w:p>
      <w:pPr>
        <w:tabs>
          <w:tab w:val="left" w:pos="7020"/>
        </w:tabs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П О С Т А Н О В Л Е Н И Е                                                         JOП</w:t>
      </w:r>
    </w:p>
    <w:p>
      <w:pPr>
        <w:jc w:val="both"/>
        <w:outlineLvl w:val="0"/>
        <w:rPr>
          <w:sz w:val="24"/>
        </w:rPr>
      </w:pPr>
    </w:p>
    <w:p>
      <w:pPr>
        <w:jc w:val="both"/>
        <w:outlineLvl w:val="0"/>
        <w:rPr>
          <w:sz w:val="24"/>
        </w:rPr>
      </w:pPr>
    </w:p>
    <w:p>
      <w:pPr>
        <w:jc w:val="both"/>
        <w:outlineLvl w:val="0"/>
        <w:rPr>
          <w:szCs w:val="28"/>
        </w:rPr>
      </w:pPr>
      <w:r>
        <w:rPr>
          <w:szCs w:val="28"/>
        </w:rPr>
        <w:t xml:space="preserve">  12 января   2020 г</w:t>
      </w:r>
      <w:r>
        <w:rPr>
          <w:b/>
          <w:szCs w:val="28"/>
        </w:rPr>
        <w:t xml:space="preserve">.                            № </w:t>
      </w:r>
      <w:r>
        <w:rPr>
          <w:szCs w:val="28"/>
        </w:rPr>
        <w:t xml:space="preserve">3/1                               с. Актел                  </w:t>
      </w:r>
    </w:p>
    <w:p>
      <w:pPr>
        <w:outlineLvl w:val="0"/>
        <w:rPr>
          <w:sz w:val="24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комплексной муниципальной программы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« Профилактика терроризма и экстремизма, а также  минимизации и ликвидации последствий проявления терроризма и экстремизма  на территории МО Актёльское сельское поселение  на 2020-2023 годы» </w:t>
      </w:r>
    </w:p>
    <w:p>
      <w:pPr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      В соответствии  Федеральными законами «Об общих принципах организации местного самоуправления в Российской Федерации» от 06.10.2003 г. №131-ФЗ, «О противодействию терроризму» от 06.03.2006 г. №35-ФЗ, « О противодействию экстремисткой деятельности» от 25.07.2002 г.  № 114-ФЗ, «О закреплении отдельных вопросов местного значения за сельскими поселениями в Республике Алтай» от 07.07.2015 г. №32 –РЗ, руководствуясь Уставом МО Актёльское сельское поселение,</w:t>
      </w:r>
    </w:p>
    <w:p>
      <w:pPr>
        <w:jc w:val="both"/>
        <w:rPr>
          <w:b/>
          <w:szCs w:val="28"/>
        </w:rPr>
      </w:pPr>
    </w:p>
    <w:p>
      <w:pPr>
        <w:jc w:val="center"/>
        <w:rPr>
          <w:szCs w:val="28"/>
        </w:rPr>
      </w:pPr>
      <w:r>
        <w:rPr>
          <w:szCs w:val="28"/>
        </w:rPr>
        <w:t>Постановляю:</w:t>
      </w:r>
    </w:p>
    <w:p>
      <w:pPr>
        <w:rPr>
          <w:szCs w:val="28"/>
        </w:rPr>
      </w:pPr>
    </w:p>
    <w:p>
      <w:pPr>
        <w:jc w:val="both"/>
        <w:rPr>
          <w:b/>
          <w:szCs w:val="28"/>
        </w:rPr>
      </w:pPr>
      <w:r>
        <w:rPr>
          <w:szCs w:val="28"/>
        </w:rPr>
        <w:t>1. Утвердить комплексную программу « Профилактика терроризма и  экстремизма, а также  минимизации и ликвидации последствий проявления терроризма и экстремизма  на территории МО Актёльское сельское поселение  на 2020-2023 годы»  (Приложение№1)</w:t>
      </w:r>
    </w:p>
    <w:p>
      <w:pPr>
        <w:rPr>
          <w:szCs w:val="28"/>
        </w:rPr>
      </w:pPr>
      <w:r>
        <w:rPr>
          <w:szCs w:val="28"/>
        </w:rPr>
        <w:t xml:space="preserve"> 2. Обнародовать  настоящее постановление в порядке, предусмотренном Уставом МО Актельское сельское поселение.</w:t>
      </w:r>
    </w:p>
    <w:p>
      <w:pPr>
        <w:rPr>
          <w:szCs w:val="28"/>
        </w:rPr>
      </w:pPr>
      <w:r>
        <w:rPr>
          <w:szCs w:val="28"/>
        </w:rPr>
        <w:t xml:space="preserve"> 3. Контроль за исполнением настоящего постановления оставляю за собой.</w:t>
      </w: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 w:val="24"/>
        </w:rPr>
      </w:pPr>
    </w:p>
    <w:p>
      <w:pPr>
        <w:rPr>
          <w:szCs w:val="28"/>
        </w:rPr>
      </w:pPr>
      <w:r>
        <w:rPr>
          <w:szCs w:val="28"/>
        </w:rPr>
        <w:t xml:space="preserve"> Глава МО Актельское </w:t>
      </w:r>
    </w:p>
    <w:p>
      <w:pPr>
        <w:rPr>
          <w:szCs w:val="28"/>
        </w:rPr>
      </w:pPr>
      <w:r>
        <w:rPr>
          <w:szCs w:val="28"/>
        </w:rPr>
        <w:t xml:space="preserve"> сельское поселение:                                                       Л.П.Матушкина</w:t>
      </w:r>
    </w:p>
    <w:p>
      <w:pPr>
        <w:rPr>
          <w:szCs w:val="28"/>
        </w:rPr>
      </w:pPr>
    </w:p>
    <w:p>
      <w:pPr>
        <w:ind w:firstLine="5954"/>
        <w:jc w:val="right"/>
        <w:rPr>
          <w:sz w:val="24"/>
        </w:rPr>
      </w:pPr>
      <w:r>
        <w:rPr>
          <w:sz w:val="24"/>
        </w:rPr>
        <w:t>Утверждено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Постановлением Главы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 xml:space="preserve"> МО Актельского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>
      <w:pPr>
        <w:ind w:firstLine="5954"/>
        <w:jc w:val="right"/>
        <w:rPr>
          <w:sz w:val="24"/>
        </w:rPr>
      </w:pPr>
      <w:r>
        <w:rPr>
          <w:sz w:val="24"/>
        </w:rPr>
        <w:t>№ 3/1 от 21.01.2020 года</w:t>
      </w:r>
    </w:p>
    <w:p>
      <w:pPr>
        <w:jc w:val="right"/>
        <w:rPr>
          <w:sz w:val="24"/>
        </w:rPr>
      </w:pPr>
      <w:r>
        <w:rPr>
          <w:sz w:val="24"/>
        </w:rPr>
        <w:t xml:space="preserve"> </w:t>
      </w: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jc w:val="right"/>
        <w:rPr>
          <w:szCs w:val="28"/>
        </w:rPr>
      </w:pPr>
    </w:p>
    <w:p>
      <w:pPr>
        <w:ind w:left="53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ПРОГРАММА </w:t>
      </w:r>
    </w:p>
    <w:p>
      <w:pPr>
        <w:ind w:left="539"/>
        <w:jc w:val="center"/>
        <w:rPr>
          <w:b/>
          <w:bCs/>
          <w:szCs w:val="28"/>
        </w:rPr>
      </w:pPr>
    </w:p>
    <w:p>
      <w:pPr>
        <w:ind w:left="539"/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 xml:space="preserve">«Профилактика терроризма и экстремизма на территории </w:t>
      </w:r>
      <w:r>
        <w:rPr>
          <w:b/>
          <w:sz w:val="48"/>
          <w:szCs w:val="48"/>
        </w:rPr>
        <w:t xml:space="preserve">Актёльского сельского поселения на 2020-2023 годы» </w:t>
      </w: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widowControl w:val="0"/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sz w:val="24"/>
        </w:rPr>
        <w:t>с. Актёл 2020 год</w:t>
      </w:r>
    </w:p>
    <w:p>
      <w:pPr>
        <w:widowControl w:val="0"/>
        <w:jc w:val="center"/>
        <w:rPr>
          <w:szCs w:val="28"/>
        </w:rPr>
      </w:pPr>
    </w:p>
    <w:p>
      <w:pPr>
        <w:widowControl w:val="0"/>
        <w:jc w:val="center"/>
        <w:rPr>
          <w:szCs w:val="28"/>
        </w:rPr>
      </w:pPr>
      <w:r>
        <w:rPr>
          <w:szCs w:val="28"/>
        </w:rPr>
        <w:t>ПАСПОРТ</w:t>
      </w:r>
    </w:p>
    <w:p>
      <w:pPr>
        <w:widowControl w:val="0"/>
        <w:jc w:val="center"/>
        <w:rPr>
          <w:szCs w:val="28"/>
        </w:rPr>
      </w:pPr>
      <w:r>
        <w:rPr>
          <w:szCs w:val="28"/>
        </w:rPr>
        <w:t>МУНИЦИПАЛЬНОЙ ПРОГРАММЫ МУНИЦИПАЛЬНОГО ОБРАЗОВАНИЯ  АКТЁЛЬСКОЕ СЕЛЬСКОЕ ПОСЕЛЕНИЕ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tbl>
      <w:tblPr>
        <w:tblStyle w:val="3"/>
        <w:tblW w:w="0" w:type="auto"/>
        <w:tblInd w:w="365" w:type="dxa"/>
        <w:tblBorders>
          <w:top w:val="single" w:color="E7E7E7" w:sz="2" w:space="0"/>
          <w:left w:val="single" w:color="E7E7E7" w:sz="2" w:space="0"/>
          <w:bottom w:val="single" w:color="E7E7E7" w:sz="2" w:space="0"/>
          <w:right w:val="single" w:color="E7E7E7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7"/>
        <w:gridCol w:w="5949"/>
      </w:tblGrid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</w:t>
            </w:r>
            <w:r>
              <w:rPr>
                <w:bCs/>
                <w:szCs w:val="28"/>
              </w:rPr>
              <w:t xml:space="preserve">на территории </w:t>
            </w:r>
            <w:r>
              <w:rPr>
                <w:szCs w:val="28"/>
              </w:rPr>
              <w:t>Актёльского сельского поселения на 2020-2023 годы (далее – Программа)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"consultantplus://offline/ref=222224F73C1256186C303027A4623814B8080EE3370FAAAEE8BFBABEF2e9J8F"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25.07.2002 № 114-ФЗ «О противодействии экстремистской деятельности»;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"consultantplus://offline/ref=222224F73C1256186C303027A4623814B8080CEB370BAAAEE8BFBABEF2e9J8F"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06.03.2006 №35-ФЗ «О противодействии терроризму»;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r>
              <w:fldChar w:fldCharType="begin"/>
            </w:r>
            <w:r>
              <w:instrText xml:space="preserve"> HYPERLINK "consultantplus://offline/ref=222224F73C1256186C303027A4623814B8080DEB3302AAAEE8BFBABEF2e9J8F" </w:instrText>
            </w:r>
            <w:r>
              <w:fldChar w:fldCharType="separate"/>
            </w:r>
            <w:r>
              <w:rPr>
                <w:szCs w:val="28"/>
              </w:rPr>
              <w:t>закон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>
            <w:pPr>
              <w:jc w:val="both"/>
              <w:rPr>
                <w:szCs w:val="28"/>
              </w:rPr>
            </w:pPr>
            <w:r>
              <w:fldChar w:fldCharType="begin"/>
            </w:r>
            <w:r>
              <w:instrText xml:space="preserve"> HYPERLINK "consultantplus://offline/ref=06A25646685953B48641BE888B1E74DDC7E850C551C28EFD50F1954952z8yFK" </w:instrText>
            </w:r>
            <w:r>
              <w:fldChar w:fldCharType="separate"/>
            </w:r>
            <w:r>
              <w:rPr>
                <w:szCs w:val="28"/>
              </w:rPr>
              <w:t>Указ</w:t>
            </w:r>
            <w:r>
              <w:rPr>
                <w:szCs w:val="28"/>
              </w:rPr>
              <w:fldChar w:fldCharType="end"/>
            </w:r>
            <w:r>
              <w:rPr>
                <w:szCs w:val="28"/>
              </w:rPr>
              <w:t xml:space="preserve"> Президента Российской Федерации от 15.02.2006 № 116 «О мерах по противодействию терроризму»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Актёльского сельского поселения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Актёльского сельского поселения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цели: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задачи: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Ожидаемые результаты  реализации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 «Сельская новь»;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2020 - 2023 годы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Актёльского сельского поселения;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и предприятия различных форм собственности (по согласованию)</w:t>
            </w:r>
          </w:p>
        </w:tc>
      </w:tr>
      <w:tr>
        <w:tblPrEx>
          <w:tblBorders>
            <w:top w:val="single" w:color="E7E7E7" w:sz="2" w:space="0"/>
            <w:left w:val="single" w:color="E7E7E7" w:sz="2" w:space="0"/>
            <w:bottom w:val="single" w:color="E7E7E7" w:sz="2" w:space="0"/>
            <w:right w:val="single" w:color="E7E7E7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2020 г. –3,0 тыс. руб.;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2021г. – 3,0 тыс. руб.;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2022 г. – 3,0 тыс. руб.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2023 г. – 3,0 тыс. руб.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Актёльское сельское поселение.</w:t>
            </w:r>
          </w:p>
          <w:p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мероприятий Программы ежегодно уточняются при формировании  проекта  бюджета  на  соответствующий финансовый год.</w:t>
            </w:r>
          </w:p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города на очередной финансовый год.</w:t>
            </w:r>
          </w:p>
        </w:tc>
      </w:tr>
    </w:tbl>
    <w:p>
      <w:pPr>
        <w:widowControl w:val="0"/>
        <w:jc w:val="center"/>
        <w:outlineLvl w:val="0"/>
        <w:rPr>
          <w:b/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</w:r>
      <w:r>
        <w:rPr>
          <w:b/>
          <w:szCs w:val="28"/>
        </w:rPr>
        <w:t>Общие положения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Программа разработана и принята в соответствии</w:t>
      </w:r>
      <w:r>
        <w:rPr>
          <w:szCs w:val="28"/>
        </w:rPr>
        <w:br w:type="textWrapping"/>
      </w:r>
      <w:r>
        <w:rPr>
          <w:szCs w:val="28"/>
        </w:rPr>
        <w:t>с Федеральным законом от 06.10.2003 № 131-ФЗ «Об общих принципах</w:t>
      </w:r>
      <w:r>
        <w:rPr>
          <w:szCs w:val="28"/>
        </w:rPr>
        <w:br w:type="textWrapping"/>
      </w:r>
      <w:r>
        <w:rPr>
          <w:szCs w:val="28"/>
        </w:rPr>
        <w:t>организации местного самоуправления в Российской 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Актёльского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</w:r>
      <w:r>
        <w:rPr>
          <w:b/>
          <w:szCs w:val="28"/>
        </w:rPr>
        <w:t>Цель и задачи Программы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МО Актёльское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воспитание культуры толерантности и межнационального согласия;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информирование населения муниципального образования по вопросам противодействия терроризму и экстремизму;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пропаганда толерантного поведения к людям других национальностей и религиозных конфессий;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недопущение наличия свастики и иных элементов экстремистской направленности на объектах инфраструктуры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</w:p>
    <w:p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>
        <w:rPr>
          <w:b/>
          <w:szCs w:val="28"/>
        </w:rPr>
        <w:t>Основные понятия, используемые в Программе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 xml:space="preserve"> В настоящей Программе используются понятия, установленные Федеральным </w:t>
      </w:r>
      <w:r>
        <w:fldChar w:fldCharType="begin"/>
      </w:r>
      <w:r>
        <w:instrText xml:space="preserve"> HYPERLINK "consultantplus://offline/ref=222224F73C1256186C303027A4623814B8080EE3370FAAAEE8BFBABEF2e9J8F" </w:instrText>
      </w:r>
      <w:r>
        <w:fldChar w:fldCharType="separate"/>
      </w:r>
      <w:r>
        <w:rPr>
          <w:szCs w:val="28"/>
        </w:rPr>
        <w:t>закон</w:t>
      </w:r>
      <w:r>
        <w:rPr>
          <w:szCs w:val="28"/>
        </w:rPr>
        <w:fldChar w:fldCharType="end"/>
      </w:r>
      <w:r>
        <w:rPr>
          <w:szCs w:val="28"/>
        </w:rPr>
        <w:t xml:space="preserve">ом от 25.07.2002 № 114-ФЗ «О противодействии экстремистской деятельности», Федеральным </w:t>
      </w:r>
      <w:r>
        <w:fldChar w:fldCharType="begin"/>
      </w:r>
      <w:r>
        <w:instrText xml:space="preserve"> HYPERLINK "consultantplus://offline/ref=222224F73C1256186C303027A4623814B8080CEB370BAAAEE8BFBABEF2e9J8F" </w:instrText>
      </w:r>
      <w:r>
        <w:fldChar w:fldCharType="separate"/>
      </w:r>
      <w:r>
        <w:rPr>
          <w:szCs w:val="28"/>
        </w:rPr>
        <w:t>закон</w:t>
      </w:r>
      <w:r>
        <w:rPr>
          <w:szCs w:val="28"/>
        </w:rPr>
        <w:fldChar w:fldCharType="end"/>
      </w:r>
      <w:r>
        <w:rPr>
          <w:szCs w:val="28"/>
        </w:rPr>
        <w:t>ом от 06.03.2006 № 35-ФЗ «О противодействии терроризму», а также следующие понятия: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Толерантность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Ксенофобия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>
      <w:pPr>
        <w:widowControl w:val="0"/>
        <w:ind w:firstLine="720"/>
        <w:jc w:val="both"/>
        <w:rPr>
          <w:szCs w:val="28"/>
        </w:rPr>
      </w:pPr>
    </w:p>
    <w:p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t>4.</w:t>
      </w:r>
      <w:r>
        <w:rPr>
          <w:b/>
          <w:szCs w:val="28"/>
        </w:rPr>
        <w:tab/>
      </w:r>
      <w:r>
        <w:rPr>
          <w:b/>
          <w:szCs w:val="28"/>
        </w:rPr>
        <w:t>Основные мероприятия Программы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пресечение деятельности и запрещение символики экстремистских групп и организаций на территории поселения;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развитие художественной самодеятельности на основе различных народных традиций и культурного наследия;</w:t>
      </w:r>
    </w:p>
    <w:p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>
      <w:pPr>
        <w:widowControl w:val="0"/>
        <w:ind w:firstLine="720"/>
        <w:jc w:val="both"/>
        <w:rPr>
          <w:b/>
          <w:szCs w:val="28"/>
        </w:rPr>
      </w:pPr>
      <w:r>
        <w:fldChar w:fldCharType="begin"/>
      </w:r>
      <w:r>
        <w:instrText xml:space="preserve"> HYPERLINK "consultantplus://offline/ref=7F2D769B6238D1BA2674CE0E79BAFC3DBF71B9F64D3BDF413CE0E6295E991E3594B553F8640FDBE617C9D1m8bCI" </w:instrText>
      </w:r>
      <w:r>
        <w:fldChar w:fldCharType="separate"/>
      </w:r>
      <w:r>
        <w:rPr>
          <w:szCs w:val="28"/>
        </w:rPr>
        <w:t>П</w:t>
      </w:r>
      <w:r>
        <w:rPr>
          <w:szCs w:val="28"/>
        </w:rPr>
        <w:fldChar w:fldCharType="end"/>
      </w:r>
      <w:r>
        <w:rPr>
          <w:szCs w:val="28"/>
        </w:rPr>
        <w:t>лан мероприятий по реализации Муниципальной программы по профилактике терроризма и экстремизма на территории сельского поселения  на 2020-2023 годы установлен в Приложении.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</w:r>
      <w:r>
        <w:rPr>
          <w:b/>
          <w:szCs w:val="28"/>
        </w:rPr>
        <w:t>Механизм реализации Программы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Управление реализацией Программы осуществляет администрация Актёльского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ежегодно до 20 марта уточняют и предоставляют 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Контроль за реализацией мероприятий Программы осуществляет Глава сельского поселения.</w:t>
      </w:r>
    </w:p>
    <w:p>
      <w:pPr>
        <w:widowControl w:val="0"/>
        <w:shd w:val="clear" w:color="auto" w:fill="FFFFFF"/>
        <w:jc w:val="both"/>
        <w:rPr>
          <w:color w:val="000000"/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</w:r>
      <w:r>
        <w:rPr>
          <w:b/>
          <w:szCs w:val="28"/>
        </w:rPr>
        <w:t>Ресурсное обеспечение Программы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2020 - 2023 годах составляет 30,0 тыс. рублей, в том числе по годам: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2020 год – 3,0 тыс. руб.;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2021год – 3,0 тыс. руб.;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2022 год – 3,0 тыс. рублей.</w:t>
      </w:r>
    </w:p>
    <w:p>
      <w:pPr>
        <w:ind w:firstLine="540"/>
        <w:jc w:val="both"/>
        <w:rPr>
          <w:szCs w:val="28"/>
        </w:rPr>
      </w:pPr>
      <w:r>
        <w:rPr>
          <w:szCs w:val="28"/>
        </w:rPr>
        <w:t>2023 год – 3,0 тыс. рублей.</w:t>
      </w:r>
    </w:p>
    <w:p>
      <w:pPr>
        <w:ind w:firstLine="540"/>
        <w:jc w:val="both"/>
        <w:rPr>
          <w:szCs w:val="28"/>
        </w:rPr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</w:t>
      </w:r>
      <w:r>
        <w:rPr>
          <w:b/>
          <w:szCs w:val="28"/>
        </w:rPr>
        <w:tab/>
      </w:r>
      <w:r>
        <w:rPr>
          <w:b/>
          <w:szCs w:val="28"/>
        </w:rPr>
        <w:t>Координация программных мероприятий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8.</w:t>
      </w:r>
      <w:r>
        <w:rPr>
          <w:b/>
          <w:szCs w:val="28"/>
        </w:rPr>
        <w:tab/>
      </w:r>
      <w:r>
        <w:rPr>
          <w:b/>
          <w:szCs w:val="28"/>
        </w:rPr>
        <w:t>Оценка эффективности реализации Программы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 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позволит: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информировать граждан о действиях при угрозе терроризма через средства массовой информации.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>
      <w:pPr>
        <w:widowControl w:val="0"/>
        <w:shd w:val="clear" w:color="auto" w:fill="FFFFFF"/>
        <w:jc w:val="both"/>
        <w:rPr>
          <w:szCs w:val="28"/>
        </w:rPr>
      </w:pPr>
    </w:p>
    <w:p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</w:r>
      <w:r>
        <w:rPr>
          <w:b/>
          <w:szCs w:val="28"/>
        </w:rPr>
        <w:t xml:space="preserve">Организация, формы и </w:t>
      </w:r>
      <w:r>
        <w:fldChar w:fldCharType="begin"/>
      </w:r>
      <w:r>
        <w:instrText xml:space="preserve"> HYPERLINK "http://www.pandia.ru/text/category/tehnologii_upravleniya/" \o "Технологии управления" </w:instrText>
      </w:r>
      <w:r>
        <w:fldChar w:fldCharType="separate"/>
      </w:r>
      <w:r>
        <w:rPr>
          <w:rStyle w:val="4"/>
          <w:b/>
          <w:szCs w:val="28"/>
        </w:rPr>
        <w:t>методы управления</w:t>
      </w:r>
      <w:r>
        <w:rPr>
          <w:rStyle w:val="4"/>
          <w:b/>
          <w:szCs w:val="28"/>
        </w:rPr>
        <w:fldChar w:fldCharType="end"/>
      </w:r>
      <w:r>
        <w:rPr>
          <w:b/>
          <w:szCs w:val="28"/>
        </w:rPr>
        <w:t xml:space="preserve"> Программой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мероприятиями;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несут ответственность за своевременную реализацию Программы;</w:t>
      </w:r>
    </w:p>
    <w:p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>
        <w:rPr>
          <w:szCs w:val="28"/>
        </w:rPr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>
      <w:pPr>
        <w:jc w:val="right"/>
        <w:outlineLvl w:val="0"/>
        <w:rPr>
          <w:sz w:val="24"/>
        </w:rPr>
      </w:pPr>
      <w:r>
        <w:rPr>
          <w:sz w:val="24"/>
        </w:rPr>
        <w:t xml:space="preserve">Приложение </w:t>
      </w:r>
    </w:p>
    <w:p>
      <w:pPr>
        <w:jc w:val="right"/>
        <w:outlineLvl w:val="0"/>
        <w:rPr>
          <w:color w:val="000000"/>
          <w:sz w:val="24"/>
        </w:rPr>
      </w:pPr>
      <w:r>
        <w:rPr>
          <w:sz w:val="24"/>
        </w:rPr>
        <w:t xml:space="preserve">к </w:t>
      </w:r>
      <w:r>
        <w:rPr>
          <w:color w:val="000000"/>
          <w:sz w:val="24"/>
        </w:rPr>
        <w:t xml:space="preserve">Муниципальной программе </w:t>
      </w:r>
    </w:p>
    <w:p>
      <w:pPr>
        <w:jc w:val="right"/>
        <w:outlineLvl w:val="0"/>
        <w:rPr>
          <w:sz w:val="24"/>
        </w:rPr>
      </w:pPr>
      <w:r>
        <w:rPr>
          <w:bCs/>
          <w:color w:val="000000"/>
          <w:sz w:val="24"/>
        </w:rPr>
        <w:t>«</w:t>
      </w:r>
      <w:r>
        <w:rPr>
          <w:sz w:val="24"/>
        </w:rPr>
        <w:t xml:space="preserve">Профилактика терроризма </w:t>
      </w:r>
    </w:p>
    <w:p>
      <w:pPr>
        <w:jc w:val="right"/>
        <w:outlineLvl w:val="0"/>
        <w:rPr>
          <w:bCs/>
          <w:color w:val="000000"/>
          <w:sz w:val="24"/>
        </w:rPr>
      </w:pPr>
      <w:r>
        <w:rPr>
          <w:sz w:val="24"/>
        </w:rPr>
        <w:t xml:space="preserve">и экстремизма </w:t>
      </w:r>
      <w:r>
        <w:rPr>
          <w:bCs/>
          <w:color w:val="000000"/>
          <w:sz w:val="24"/>
        </w:rPr>
        <w:t xml:space="preserve">на территории </w:t>
      </w:r>
    </w:p>
    <w:p>
      <w:pPr>
        <w:jc w:val="right"/>
        <w:outlineLvl w:val="0"/>
        <w:rPr>
          <w:sz w:val="24"/>
        </w:rPr>
      </w:pPr>
      <w:r>
        <w:rPr>
          <w:sz w:val="24"/>
        </w:rPr>
        <w:t xml:space="preserve">Актёльского сельского поселения </w:t>
      </w:r>
    </w:p>
    <w:p>
      <w:pPr>
        <w:jc w:val="right"/>
        <w:outlineLvl w:val="0"/>
        <w:rPr>
          <w:sz w:val="24"/>
        </w:rPr>
      </w:pPr>
      <w:r>
        <w:rPr>
          <w:sz w:val="24"/>
        </w:rPr>
        <w:t>на 2020-2023 годы»</w:t>
      </w:r>
    </w:p>
    <w:p>
      <w:pPr>
        <w:widowControl w:val="0"/>
        <w:jc w:val="center"/>
        <w:rPr>
          <w:szCs w:val="28"/>
        </w:rPr>
      </w:pPr>
    </w:p>
    <w:p>
      <w:pPr>
        <w:widowControl w:val="0"/>
        <w:jc w:val="center"/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bCs/>
          <w:szCs w:val="28"/>
        </w:rPr>
        <w:t>План мероприятий Муниципальной программы</w:t>
      </w:r>
      <w:r>
        <w:rPr>
          <w:b/>
          <w:bCs/>
          <w:szCs w:val="28"/>
        </w:rPr>
        <w:br w:type="textWrapping"/>
      </w:r>
      <w:r>
        <w:rPr>
          <w:b/>
          <w:bCs/>
          <w:szCs w:val="28"/>
        </w:rPr>
        <w:t>«</w:t>
      </w:r>
      <w:r>
        <w:rPr>
          <w:b/>
          <w:szCs w:val="28"/>
        </w:rPr>
        <w:t xml:space="preserve">Профилактика терроризма и экстремизма </w:t>
      </w:r>
      <w:r>
        <w:rPr>
          <w:b/>
          <w:bCs/>
          <w:szCs w:val="28"/>
        </w:rPr>
        <w:t xml:space="preserve">на территории </w:t>
      </w:r>
      <w:r>
        <w:rPr>
          <w:b/>
          <w:szCs w:val="28"/>
        </w:rPr>
        <w:t xml:space="preserve">Актёльского сельского поселения </w:t>
      </w:r>
    </w:p>
    <w:p>
      <w:pPr>
        <w:ind w:left="540"/>
        <w:jc w:val="center"/>
        <w:rPr>
          <w:b/>
          <w:szCs w:val="28"/>
        </w:rPr>
      </w:pPr>
      <w:r>
        <w:rPr>
          <w:b/>
          <w:szCs w:val="28"/>
        </w:rPr>
        <w:t xml:space="preserve">на 2020-2023годы» </w:t>
      </w:r>
    </w:p>
    <w:p>
      <w:pPr>
        <w:widowControl w:val="0"/>
        <w:jc w:val="both"/>
        <w:rPr>
          <w:szCs w:val="28"/>
        </w:rPr>
      </w:pPr>
    </w:p>
    <w:tbl>
      <w:tblPr>
        <w:tblStyle w:val="3"/>
        <w:tblW w:w="9786" w:type="dxa"/>
        <w:tblCellSpacing w:w="0" w:type="dxa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98"/>
        <w:gridCol w:w="3872"/>
        <w:gridCol w:w="2087"/>
        <w:gridCol w:w="1825"/>
        <w:gridCol w:w="1404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 руб.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печатными и электронными СМИ, литературой (информационного пространства) сельского поселения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Библиотеки (по согласованию)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Постоянно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поселения; 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образовательных учреждений (по согласованию) 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Изготовление, приобретение буклетов, плакатов, памяток,  листовок  и рекомендаций по </w:t>
            </w:r>
            <w:r>
              <w:rPr>
                <w:sz w:val="24"/>
              </w:rPr>
              <w:t xml:space="preserve"> профилактике экстремизма, </w:t>
            </w:r>
            <w:r>
              <w:rPr>
                <w:iCs/>
                <w:sz w:val="24"/>
              </w:rPr>
              <w:t>антитеррористической тематике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>
            <w:pPr>
              <w:widowControl w:val="0"/>
              <w:ind w:firstLine="239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2023г. – 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2023г. – 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встреч в образовательных учреждениях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образовательных учреждений (по согласованию);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внутренних дел (по согласованию)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поселения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«Сельская новь», на информационных стендах поселения, на официальном сайте администрации поселения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firstLine="23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Постоянно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2020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2022г. – 1,0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2023г. –0,0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ФМС (по согласованию)</w:t>
            </w:r>
          </w:p>
          <w:p>
            <w:pPr>
              <w:widowControl w:val="0"/>
              <w:jc w:val="center"/>
              <w:rPr>
                <w:sz w:val="24"/>
              </w:rPr>
            </w:pPr>
          </w:p>
          <w:p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>
            <w:pPr>
              <w:pStyle w:val="9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sz w:val="24"/>
              </w:rPr>
            </w:pPr>
          </w:p>
        </w:tc>
      </w:tr>
    </w:tbl>
    <w:p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>
      <w:pPr>
        <w:widowControl w:val="0"/>
        <w:shd w:val="clear" w:color="auto" w:fill="FFFFFF"/>
        <w:ind w:firstLine="720"/>
        <w:jc w:val="both"/>
        <w:rPr>
          <w:color w:val="000000"/>
          <w:sz w:val="24"/>
        </w:rPr>
      </w:pPr>
    </w:p>
    <w:p>
      <w:pPr>
        <w:widowControl w:val="0"/>
        <w:ind w:firstLine="720"/>
        <w:jc w:val="both"/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Cs w:val="28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5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24B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5C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3CFA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560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760"/>
    <w:rsid w:val="002218BA"/>
    <w:rsid w:val="002218D0"/>
    <w:rsid w:val="00221979"/>
    <w:rsid w:val="002219A7"/>
    <w:rsid w:val="00221F2A"/>
    <w:rsid w:val="002226C0"/>
    <w:rsid w:val="002226F3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2EC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18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101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97E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25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5D0C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0F5B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030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714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665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05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1FCD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6076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480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41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D5A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49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2E2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3F8C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1F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  <w:rsid w:val="5FFD6201"/>
    <w:rsid w:val="6F0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0"/>
    <w:pPr>
      <w:ind w:left="720"/>
      <w:contextualSpacing/>
    </w:pPr>
    <w:rPr>
      <w:sz w:val="24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8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customStyle="1" w:styleId="9">
    <w:name w:val="Содержимое таблицы"/>
    <w:basedOn w:val="1"/>
    <w:qFormat/>
    <w:uiPriority w:val="0"/>
    <w:pPr>
      <w:suppressLineNumbers/>
    </w:pPr>
    <w:rPr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2989</Words>
  <Characters>17042</Characters>
  <Lines>142</Lines>
  <Paragraphs>39</Paragraphs>
  <TotalTime>144</TotalTime>
  <ScaleCrop>false</ScaleCrop>
  <LinksUpToDate>false</LinksUpToDate>
  <CharactersWithSpaces>19992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2020-01-31T03:40:00Z</dcterms:created>
  <dc:creator>Admin</dc:creator>
  <cp:lastModifiedBy>ак</cp:lastModifiedBy>
  <cp:lastPrinted>2020-05-14T04:48:00Z</cp:lastPrinted>
  <dcterms:modified xsi:type="dcterms:W3CDTF">2023-01-13T02:26:48Z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30AF624A68A04E698325B70AA6A02B96</vt:lpwstr>
  </property>
</Properties>
</file>